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75730C" w14:paraId="5FC24781" w14:textId="77777777" w:rsidTr="002420A4">
        <w:tc>
          <w:tcPr>
            <w:tcW w:w="9180" w:type="dxa"/>
            <w:gridSpan w:val="3"/>
            <w:shd w:val="clear" w:color="auto" w:fill="92D050"/>
          </w:tcPr>
          <w:p w14:paraId="0E75FEF2" w14:textId="2A6C6E40" w:rsidR="00741F10" w:rsidRPr="0075730C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:</w:t>
            </w:r>
            <w:proofErr w:type="gramEnd"/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75730C" w14:paraId="5A93C091" w14:textId="77777777" w:rsidTr="002420A4">
        <w:tc>
          <w:tcPr>
            <w:tcW w:w="1101" w:type="dxa"/>
            <w:hideMark/>
          </w:tcPr>
          <w:p w14:paraId="5E42D4F6" w14:textId="6C7CE349" w:rsidR="00F969BD" w:rsidRPr="0075730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7573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</w:t>
            </w:r>
            <w:r w:rsidR="0040355B" w:rsidRPr="007573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83" w:type="dxa"/>
            <w:hideMark/>
          </w:tcPr>
          <w:p w14:paraId="44F0C360" w14:textId="77777777" w:rsidR="00F969BD" w:rsidRPr="0075730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3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0D286486" w:rsidR="00F969BD" w:rsidRPr="0075730C" w:rsidRDefault="004035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30C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75730C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5730C">
              <w:rPr>
                <w:rFonts w:ascii="TH SarabunPSK" w:hAnsi="TH SarabunPSK" w:cs="TH SarabunPSK"/>
                <w:sz w:val="32"/>
                <w:szCs w:val="32"/>
              </w:rPr>
              <w:t xml:space="preserve"> to show that the rights and privileges, benefits, roles and relationships, and accountability of the academic staff, </w:t>
            </w:r>
            <w:proofErr w:type="gramStart"/>
            <w:r w:rsidRPr="0075730C">
              <w:rPr>
                <w:rFonts w:ascii="TH SarabunPSK" w:hAnsi="TH SarabunPSK" w:cs="TH SarabunPSK"/>
                <w:sz w:val="32"/>
                <w:szCs w:val="32"/>
              </w:rPr>
              <w:t>taking into account</w:t>
            </w:r>
            <w:proofErr w:type="gramEnd"/>
            <w:r w:rsidRPr="0075730C">
              <w:rPr>
                <w:rFonts w:ascii="TH SarabunPSK" w:hAnsi="TH SarabunPSK" w:cs="TH SarabunPSK"/>
                <w:sz w:val="32"/>
                <w:szCs w:val="32"/>
              </w:rPr>
              <w:t xml:space="preserve"> professional ethics and their academic freedom, are well defined and understood.</w:t>
            </w:r>
          </w:p>
        </w:tc>
      </w:tr>
    </w:tbl>
    <w:p w14:paraId="35FBDD1A" w14:textId="77777777" w:rsidR="00F969BD" w:rsidRPr="0075730C" w:rsidRDefault="00F969BD" w:rsidP="00F969BD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A5DF22F" w14:textId="67964987" w:rsidR="00F969BD" w:rsidRPr="0075730C" w:rsidRDefault="00F969BD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  <w:r w:rsidR="00467245" w:rsidRPr="0075730C">
        <w:rPr>
          <w:rFonts w:ascii="TH SarabunPSK" w:hAnsi="TH SarabunPSK" w:cs="TH SarabunPSK"/>
          <w:b/>
          <w:bCs/>
          <w:sz w:val="32"/>
          <w:szCs w:val="32"/>
          <w:cs/>
        </w:rPr>
        <w:t>ระดับมหาวิทยาลัย</w:t>
      </w:r>
    </w:p>
    <w:p w14:paraId="36E68A95" w14:textId="77777777" w:rsidR="0097648B" w:rsidRPr="0075730C" w:rsidRDefault="0097648B" w:rsidP="0040355B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378E0D20" w14:textId="6C7FADBB" w:rsidR="00D36E00" w:rsidRPr="0075730C" w:rsidRDefault="00D36E00" w:rsidP="00D36E0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>การกำหนดหน้าที่ความรับผิดชอบของบุคลากรประเภทวิชาการ ปรากฎตาม</w:t>
      </w:r>
      <w:hyperlink r:id="rId5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มาตรฐานกำหนดตำแหน่งพนักงานมหาวิทยาลัยประเภทวิชาการ</w:t>
        </w:r>
      </w:hyperlink>
      <w:r w:rsidRPr="0075730C">
        <w:rPr>
          <w:rFonts w:ascii="TH SarabunPSK" w:hAnsi="TH SarabunPSK" w:cs="TH SarabunPSK"/>
          <w:sz w:val="32"/>
          <w:szCs w:val="32"/>
        </w:rPr>
        <w:t xml:space="preserve"> </w:t>
      </w:r>
      <w:r w:rsidRPr="0075730C">
        <w:rPr>
          <w:rFonts w:ascii="TH SarabunPSK" w:hAnsi="TH SarabunPSK" w:cs="TH SarabunPSK"/>
          <w:sz w:val="32"/>
          <w:szCs w:val="32"/>
          <w:cs/>
        </w:rPr>
        <w:t>ควบคู่กับ</w:t>
      </w:r>
      <w:hyperlink r:id="rId6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มาตรฐานภาระงานขั้นต่ำ</w:t>
        </w:r>
      </w:hyperlink>
      <w:r w:rsidRPr="0075730C">
        <w:rPr>
          <w:rFonts w:ascii="TH SarabunPSK" w:hAnsi="TH SarabunPSK" w:cs="TH SarabunPSK"/>
          <w:sz w:val="32"/>
          <w:szCs w:val="32"/>
          <w:cs/>
        </w:rPr>
        <w:t>ที่มหาวิทยาลัยกำหนดไว้ โดยการกำหนด</w:t>
      </w:r>
      <w:hyperlink r:id="rId7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มาตรฐานภาระงานขั้นต่ำ</w:t>
        </w:r>
      </w:hyperlink>
      <w:r w:rsidRPr="0075730C">
        <w:rPr>
          <w:rFonts w:ascii="TH SarabunPSK" w:hAnsi="TH SarabunPSK" w:cs="TH SarabunPSK"/>
          <w:sz w:val="32"/>
          <w:szCs w:val="32"/>
          <w:cs/>
        </w:rPr>
        <w:t>ดังกล่าวครอบคลุมทั้ง 4 พันธกิจ (การสอน การวิจัย การบริการวิชาการ และทะนุบำรุง</w:t>
      </w:r>
      <w:proofErr w:type="spellStart"/>
      <w:r w:rsidRPr="0075730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5730C">
        <w:rPr>
          <w:rFonts w:ascii="TH SarabunPSK" w:hAnsi="TH SarabunPSK" w:cs="TH SarabunPSK"/>
          <w:sz w:val="32"/>
          <w:szCs w:val="32"/>
          <w:cs/>
        </w:rPr>
        <w:t xml:space="preserve">วัฒนธรรม)  </w:t>
      </w:r>
    </w:p>
    <w:p w14:paraId="5F9A44E7" w14:textId="62DA7A4D" w:rsidR="00D36E00" w:rsidRPr="0075730C" w:rsidRDefault="00D36E00" w:rsidP="00D36E0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>สำหรับการประเมินผลการปฏิบัติงานนั้น มหาวิทยาลัยได้กำหนด</w:t>
      </w:r>
      <w:hyperlink r:id="rId8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หลักเกณฑ์การคิดภาระงานของผู้ปฏิบัติงานในมหาวิทยาลัยประเภทวิชาการ</w:t>
        </w:r>
      </w:hyperlink>
      <w:r w:rsidRPr="0075730C">
        <w:rPr>
          <w:rFonts w:ascii="TH SarabunPSK" w:hAnsi="TH SarabunPSK" w:cs="TH SarabunPSK"/>
          <w:sz w:val="32"/>
          <w:szCs w:val="32"/>
          <w:cs/>
        </w:rPr>
        <w:t xml:space="preserve"> โดยแยกเป็น 4 พันธกิจเช่นเดียวกัน ซึ่งบุคลากรสายวิชาการสามารถวางแผนการปฏิบัติงานประจำปีโดยตกลงกับหัวหน้าส่วนงานภายใต้การจัดทำข้อตกลงภาระงานประจำปี  โดยการกำหนดหลักเกณฑ์การคิดภาระงานฯ ดังกล่าวนั้น ได้มีการจัดทำโดยการประชาพิจารณ์ไปยังบุคลากรประเภทวิชาการ และผ่านการเสนอความเห็นจากสภาพนักงานมหาวิทยาลัย ก่อนดำเนินการประกาศใช้หลักเกณฑ์ดังกล่าว</w:t>
      </w:r>
    </w:p>
    <w:p w14:paraId="6B3E1A0F" w14:textId="77777777" w:rsidR="00BE6D39" w:rsidRPr="0075730C" w:rsidRDefault="00D36E00" w:rsidP="00BE6D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>ทั้งนี้ นอกเหนือจากการปฏิบัติงานตามตำแหน่งแล้วนั้น บุคลากรประเภทวิชาการยังจะต้องปฏิบัติตาม</w:t>
      </w:r>
      <w:hyperlink r:id="rId9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ข้อบังคับมหาวิทยาลัยแม่โจ้ ว่าด้วยจรรยาบรรณ</w:t>
        </w:r>
      </w:hyperlink>
      <w:r w:rsidRPr="0075730C">
        <w:rPr>
          <w:rFonts w:ascii="TH SarabunPSK" w:hAnsi="TH SarabunPSK" w:cs="TH SarabunPSK"/>
          <w:sz w:val="32"/>
          <w:szCs w:val="32"/>
          <w:cs/>
        </w:rPr>
        <w:t xml:space="preserve"> ซึ่งได้กำหนดจรรยาบรรณต่อหน่วยงาน ต่อผู้บังคับบัญชา ต่อผู้ใต้บังคับบัญชา ต่อผู้ร่วมงาน ต่อผู้มาติดต่องานและสังคม และที่สำคัญบุคลากรประเภทวิชาการ จะต้องมีจรรยาบรรณวิชาชีพคณาจารย์อีกด้วย ซึ่งสภาพนักงานได้ดำเนินการจัดโครงการที่เกี่ยวข้องกับการส่งเสริมจรรยาบรรณ เป็นประจำทุกปี</w:t>
      </w:r>
    </w:p>
    <w:p w14:paraId="5842B918" w14:textId="4903711D" w:rsidR="00BE6D39" w:rsidRPr="0075730C" w:rsidRDefault="00BE6D39" w:rsidP="00BE6D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89831471"/>
      <w:r w:rsidRPr="0075730C">
        <w:rPr>
          <w:rFonts w:ascii="TH SarabunPSK" w:hAnsi="TH SarabunPSK" w:cs="TH SarabunPSK"/>
          <w:sz w:val="32"/>
          <w:szCs w:val="32"/>
          <w:cs/>
        </w:rPr>
        <w:t>โดย มหาวิทยาลัยได้ดำเนินโครงการส่งเสริมจรรยาบรรณวิชาชีพ อาจารย์และบุคลากรมหาวิทยาลัย ประจำปี 256</w:t>
      </w:r>
      <w:r w:rsidRPr="0075730C">
        <w:rPr>
          <w:rFonts w:ascii="TH SarabunPSK" w:hAnsi="TH SarabunPSK" w:cs="TH SarabunPSK"/>
          <w:sz w:val="32"/>
          <w:szCs w:val="32"/>
        </w:rPr>
        <w:t>6</w:t>
      </w:r>
      <w:r w:rsidRPr="0075730C">
        <w:rPr>
          <w:rFonts w:ascii="TH SarabunPSK" w:hAnsi="TH SarabunPSK" w:cs="TH SarabunPSK"/>
          <w:sz w:val="32"/>
          <w:szCs w:val="32"/>
          <w:cs/>
        </w:rPr>
        <w:t xml:space="preserve"> และได้ดำเนินงานโดยคณะอนุกรรมการฝ่าย</w:t>
      </w:r>
      <w:r w:rsidRPr="0075730C">
        <w:rPr>
          <w:rStyle w:val="a6"/>
          <w:rFonts w:ascii="TH SarabunPSK" w:hAnsi="TH SarabunPSK" w:cs="TH SarabunPSK"/>
          <w:b w:val="0"/>
          <w:bCs w:val="0"/>
          <w:color w:val="222222"/>
          <w:sz w:val="32"/>
          <w:szCs w:val="32"/>
          <w:shd w:val="clear" w:color="auto" w:fill="FFFFFF"/>
          <w:cs/>
        </w:rPr>
        <w:t>ประชาสัมพันธ์และสื่อสารองค์กร สภาพนักงาน มีการประชุม</w:t>
      </w:r>
      <w:r w:rsidRPr="0075730C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75730C">
        <w:rPr>
          <w:rFonts w:ascii="TH SarabunPSK" w:hAnsi="TH SarabunPSK" w:cs="TH SarabunPSK"/>
          <w:sz w:val="32"/>
          <w:szCs w:val="32"/>
          <w:cs/>
        </w:rPr>
        <w:t>กำหนดขั้นตอนกิจกรรมวิธีการดำเนินงาน จำนวน</w:t>
      </w:r>
      <w:r w:rsidR="00757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30C">
        <w:rPr>
          <w:rFonts w:ascii="TH SarabunPSK" w:hAnsi="TH SarabunPSK" w:cs="TH SarabunPSK"/>
          <w:sz w:val="32"/>
          <w:szCs w:val="32"/>
          <w:cs/>
        </w:rPr>
        <w:t xml:space="preserve">2 โครงการ ดังนี้ </w:t>
      </w:r>
    </w:p>
    <w:bookmarkEnd w:id="1"/>
    <w:p w14:paraId="0BF256B8" w14:textId="36B557C1" w:rsidR="00BE6D39" w:rsidRPr="0075730C" w:rsidRDefault="006074FF" w:rsidP="002F0D0D">
      <w:pPr>
        <w:pStyle w:val="a4"/>
        <w:numPr>
          <w:ilvl w:val="0"/>
          <w:numId w:val="5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fldChar w:fldCharType="begin"/>
      </w:r>
      <w:r>
        <w:instrText xml:space="preserve"> HYPERLINK "https://www.youtube.com/watch?v=zdqA70Vl5yg&amp;feature=youtu.be" </w:instrText>
      </w:r>
      <w:r>
        <w:fldChar w:fldCharType="separate"/>
      </w:r>
      <w:r w:rsidR="00BE6D39" w:rsidRPr="0075730C">
        <w:rPr>
          <w:rStyle w:val="a3"/>
          <w:rFonts w:ascii="TH SarabunPSK" w:hAnsi="TH SarabunPSK" w:cs="TH SarabunPSK"/>
          <w:sz w:val="32"/>
          <w:szCs w:val="32"/>
          <w:cs/>
        </w:rPr>
        <w:t>โครงการส่งเสริมจรรยาบรรณวิชาชีพอาจารย์และบุคลากรมหาวิทยาลัย ประจำปี 2566</w:t>
      </w:r>
      <w:r>
        <w:rPr>
          <w:rStyle w:val="a3"/>
          <w:rFonts w:ascii="TH SarabunPSK" w:hAnsi="TH SarabunPSK" w:cs="TH SarabunPSK"/>
          <w:sz w:val="32"/>
          <w:szCs w:val="32"/>
        </w:rPr>
        <w:fldChar w:fldCharType="end"/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0D0D" w:rsidRPr="0075730C">
        <w:rPr>
          <w:rFonts w:ascii="TH SarabunPSK" w:hAnsi="TH SarabunPSK" w:cs="TH SarabunPSK"/>
          <w:sz w:val="32"/>
          <w:szCs w:val="32"/>
        </w:rPr>
        <w:t>: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 โดยเชิญผู้แทนจากผู้บริหาร สายว</w:t>
      </w:r>
      <w:r w:rsidR="002F0D0D" w:rsidRPr="0075730C">
        <w:rPr>
          <w:rFonts w:ascii="TH SarabunPSK" w:hAnsi="TH SarabunPSK" w:cs="TH SarabunPSK"/>
          <w:sz w:val="32"/>
          <w:szCs w:val="32"/>
          <w:cs/>
        </w:rPr>
        <w:t>ิ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>ชาการ และสายสนับสนุนของแต่ละส่วนงาน</w:t>
      </w:r>
      <w:r w:rsidR="002F0D0D" w:rsidRPr="0075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มาร่วมโครงการ จำนวนทั้งสิ้น 113 คน แบ่งเป็นกิจกรรมภาคบรรยาย เรื่อง คุณธรรม จริยธรรม และจรรยาบรรณวิชาชีพอาจารย์และบุคลากรมหาวิทยาลัยแม่โจ้ เพื่อส่งเสริมและสร้างความรู้ความเข้าใจด้านคุณธรรม จริยธรรม และจรรยาบรรณของบุคลากรมหาวิทยาลัย ตามระบบการบริหารงานบุคคลมหาวิทยาลัยในระดับดีขึ้นไป และกิจกรรมภาคปฏิบัติ ตัวแทนของบุคลากรร่วมกันจัดทำแนวทางปฏิบัติ จัดทำแนวทางปฏิบัติ </w:t>
      </w:r>
      <w:r w:rsidR="00BE6D39" w:rsidRPr="0075730C">
        <w:rPr>
          <w:rFonts w:ascii="TH SarabunPSK" w:hAnsi="TH SarabunPSK" w:cs="TH SarabunPSK"/>
          <w:sz w:val="32"/>
          <w:szCs w:val="32"/>
        </w:rPr>
        <w:t xml:space="preserve">Dos &amp; Don’ts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>ลดความสับสนเกี่ยวกับพฤติกรรมสีเทาของบุคลากรมหาวิทยาลัยแม่โจ้ ได้ข้อสรุปแนวทางข้อควรทำ (</w:t>
      </w:r>
      <w:r w:rsidR="00BE6D39" w:rsidRPr="0075730C">
        <w:rPr>
          <w:rFonts w:ascii="TH SarabunPSK" w:hAnsi="TH SarabunPSK" w:cs="TH SarabunPSK"/>
          <w:sz w:val="32"/>
          <w:szCs w:val="32"/>
        </w:rPr>
        <w:t xml:space="preserve">Do)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>และไม่ควรทำ (</w:t>
      </w:r>
      <w:r w:rsidR="00BE6D39" w:rsidRPr="0075730C">
        <w:rPr>
          <w:rFonts w:ascii="TH SarabunPSK" w:hAnsi="TH SarabunPSK" w:cs="TH SarabunPSK"/>
          <w:sz w:val="32"/>
          <w:szCs w:val="32"/>
        </w:rPr>
        <w:t xml:space="preserve">Don’t)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ของมหาวิทยาลัยแม่โจ้ ตามหลักการครองตน ครองคน ครองงาน จัดเมื่อวันที่ </w:t>
      </w:r>
      <w:r w:rsidR="00BE6D39" w:rsidRPr="0075730C">
        <w:rPr>
          <w:rFonts w:ascii="TH SarabunPSK" w:hAnsi="TH SarabunPSK" w:cs="TH SarabunPSK"/>
          <w:sz w:val="32"/>
          <w:szCs w:val="32"/>
        </w:rPr>
        <w:t xml:space="preserve">13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BE6D39" w:rsidRPr="0075730C">
        <w:rPr>
          <w:rFonts w:ascii="TH SarabunPSK" w:hAnsi="TH SarabunPSK" w:cs="TH SarabunPSK"/>
          <w:sz w:val="32"/>
          <w:szCs w:val="32"/>
        </w:rPr>
        <w:t xml:space="preserve">2566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>ณ โรงแรมกรีน</w:t>
      </w:r>
      <w:proofErr w:type="spellStart"/>
      <w:r w:rsidR="00BE6D39" w:rsidRPr="0075730C">
        <w:rPr>
          <w:rFonts w:ascii="TH SarabunPSK" w:hAnsi="TH SarabunPSK" w:cs="TH SarabunPSK"/>
          <w:sz w:val="32"/>
          <w:szCs w:val="32"/>
          <w:cs/>
        </w:rPr>
        <w:t>เลครีส</w:t>
      </w:r>
      <w:proofErr w:type="spellEnd"/>
      <w:r w:rsidR="00BE6D39" w:rsidRPr="0075730C">
        <w:rPr>
          <w:rFonts w:ascii="TH SarabunPSK" w:hAnsi="TH SarabunPSK" w:cs="TH SarabunPSK"/>
          <w:sz w:val="32"/>
          <w:szCs w:val="32"/>
          <w:cs/>
        </w:rPr>
        <w:t>อร</w:t>
      </w:r>
      <w:proofErr w:type="spellStart"/>
      <w:r w:rsidR="00BE6D39" w:rsidRPr="0075730C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 เชียงใหม่</w:t>
      </w:r>
    </w:p>
    <w:p w14:paraId="69FCE607" w14:textId="24173928" w:rsidR="00BE6D39" w:rsidRPr="0075730C" w:rsidRDefault="001C54AB" w:rsidP="00F813E3">
      <w:pPr>
        <w:pStyle w:val="a4"/>
        <w:numPr>
          <w:ilvl w:val="0"/>
          <w:numId w:val="5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hyperlink r:id="rId10" w:history="1">
        <w:r w:rsidR="00BE6D39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โครงการพบปะแลกเปลี่ยน และรับฟังความคิดเห็นบุคลากร มหาวิทยาลัยแม่โจ้-แพร่</w:t>
        </w:r>
        <w:r w:rsidR="002F0D0D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ฯ</w:t>
        </w:r>
      </w:hyperlink>
      <w:r w:rsidR="002F0D0D" w:rsidRPr="0075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0D0D" w:rsidRPr="0075730C">
        <w:rPr>
          <w:rFonts w:ascii="TH SarabunPSK" w:hAnsi="TH SarabunPSK" w:cs="TH SarabunPSK"/>
          <w:sz w:val="32"/>
          <w:szCs w:val="32"/>
        </w:rPr>
        <w:t xml:space="preserve">: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 xml:space="preserve">ในประเด็นต่าง ๆ ได้แก่ บทบาทหน้าที่ของสภาพนักงานในการส่งเสริมจรรยาบรรณแกบุคลากร ความก้าวหน้าทางวิชาการของสายวิชาการและสายสนับสนุน แจ้งสวัสดิการต่าง ๆ ของมหาวิทยาลัย พร้อมรับฟังความคิดเห็น และรับข้อร้องเรียนจากบุคลากร มหาวิทยาลัยแม่โจ้-แพร่ ฯ จัดเมื่อวันที่ 18 พฤษภาคม 2566 ณ ห้องประชุมกวางบุษราคัม มหาวิทยาลัยแม่โจ้ - แพร่ เฉลิมพระเกียรติ </w:t>
      </w:r>
    </w:p>
    <w:p w14:paraId="26119833" w14:textId="07F3E13E" w:rsidR="00BE6D39" w:rsidRPr="0075730C" w:rsidRDefault="002E6686" w:rsidP="00BE6D39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lastRenderedPageBreak/>
        <w:t xml:space="preserve">อีกทั้ง </w:t>
      </w:r>
      <w:r w:rsidR="00BE6D39" w:rsidRPr="0075730C">
        <w:rPr>
          <w:rFonts w:ascii="TH SarabunPSK" w:hAnsi="TH SarabunPSK" w:cs="TH SarabunPSK"/>
          <w:sz w:val="32"/>
          <w:szCs w:val="32"/>
          <w:cs/>
        </w:rPr>
        <w:t>ได้เผยแพร่คลิปวิดีโอที่เกี่ยวข้องกับจรรยาบรรณของบุคลากร ได้แก่</w:t>
      </w:r>
    </w:p>
    <w:p w14:paraId="0C08A776" w14:textId="36B891CA" w:rsidR="00BE6D39" w:rsidRPr="0075730C" w:rsidRDefault="001C54AB" w:rsidP="002E6686">
      <w:pPr>
        <w:pStyle w:val="a4"/>
        <w:numPr>
          <w:ilvl w:val="1"/>
          <w:numId w:val="7"/>
        </w:numPr>
        <w:ind w:left="1560" w:hanging="426"/>
        <w:rPr>
          <w:rFonts w:ascii="TH SarabunPSK" w:hAnsi="TH SarabunPSK" w:cs="TH SarabunPSK"/>
          <w:sz w:val="32"/>
          <w:szCs w:val="32"/>
        </w:rPr>
      </w:pPr>
      <w:hyperlink r:id="rId11" w:history="1">
        <w:r w:rsidR="00BE6D39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ผลประโยชน์ทับซ้อน โดย ปปช.</w:t>
        </w:r>
      </w:hyperlink>
    </w:p>
    <w:p w14:paraId="430CFF8E" w14:textId="29F88248" w:rsidR="00BE6D39" w:rsidRPr="0075730C" w:rsidRDefault="001C54AB" w:rsidP="002E6686">
      <w:pPr>
        <w:pStyle w:val="a4"/>
        <w:numPr>
          <w:ilvl w:val="1"/>
          <w:numId w:val="7"/>
        </w:numPr>
        <w:ind w:left="1560" w:hanging="426"/>
        <w:rPr>
          <w:rFonts w:ascii="TH SarabunPSK" w:hAnsi="TH SarabunPSK" w:cs="TH SarabunPSK"/>
          <w:spacing w:val="-6"/>
          <w:sz w:val="32"/>
          <w:szCs w:val="32"/>
        </w:rPr>
      </w:pPr>
      <w:hyperlink r:id="rId12" w:history="1">
        <w:r w:rsidR="00BE6D39" w:rsidRPr="0075730C">
          <w:rPr>
            <w:rStyle w:val="a3"/>
            <w:rFonts w:ascii="TH SarabunPSK" w:hAnsi="TH SarabunPSK" w:cs="TH SarabunPSK"/>
            <w:spacing w:val="-6"/>
            <w:sz w:val="32"/>
            <w:szCs w:val="32"/>
            <w:cs/>
          </w:rPr>
          <w:t>รู้ทันกันโกง ผลประโยชน์ทับซ้อน ภัยเงียบ ทำร้ายชาติ</w:t>
        </w:r>
      </w:hyperlink>
      <w:r w:rsidR="00BE6D39" w:rsidRPr="0075730C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 ฝ่ายธรรมา</w:t>
      </w:r>
      <w:proofErr w:type="spellStart"/>
      <w:r w:rsidR="00BE6D39" w:rsidRPr="0075730C">
        <w:rPr>
          <w:rFonts w:ascii="TH SarabunPSK" w:hAnsi="TH SarabunPSK" w:cs="TH SarabunPSK"/>
          <w:spacing w:val="-6"/>
          <w:sz w:val="32"/>
          <w:szCs w:val="32"/>
          <w:cs/>
        </w:rPr>
        <w:t>ภิ</w:t>
      </w:r>
      <w:proofErr w:type="spellEnd"/>
      <w:r w:rsidR="00BE6D39" w:rsidRPr="0075730C">
        <w:rPr>
          <w:rFonts w:ascii="TH SarabunPSK" w:hAnsi="TH SarabunPSK" w:cs="TH SarabunPSK"/>
          <w:spacing w:val="-6"/>
          <w:sz w:val="32"/>
          <w:szCs w:val="32"/>
          <w:cs/>
        </w:rPr>
        <w:t>บาล การประปานครหลวง</w:t>
      </w:r>
    </w:p>
    <w:p w14:paraId="64B4D26F" w14:textId="3634DDC2" w:rsidR="00BE6D39" w:rsidRPr="0075730C" w:rsidRDefault="00BE6D39" w:rsidP="002E6686">
      <w:pPr>
        <w:pStyle w:val="a4"/>
        <w:numPr>
          <w:ilvl w:val="1"/>
          <w:numId w:val="7"/>
        </w:numPr>
        <w:ind w:left="1560" w:hanging="426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 xml:space="preserve">โดนัท (จิตสาธารณะ) ภาพยนตร์สั้น ภายใต้โครงการ กรุงเทพเมืองสีขาว หลักสูตร </w:t>
      </w:r>
      <w:hyperlink r:id="rId13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"โตไปไม่โกง"</w:t>
        </w:r>
      </w:hyperlink>
    </w:p>
    <w:p w14:paraId="07F9E317" w14:textId="2BD287BD" w:rsidR="00BE6D39" w:rsidRPr="0075730C" w:rsidRDefault="001C54AB" w:rsidP="002E6686">
      <w:pPr>
        <w:pStyle w:val="a4"/>
        <w:numPr>
          <w:ilvl w:val="1"/>
          <w:numId w:val="7"/>
        </w:numPr>
        <w:ind w:left="1560" w:hanging="426"/>
        <w:rPr>
          <w:rFonts w:ascii="TH SarabunPSK" w:hAnsi="TH SarabunPSK" w:cs="TH SarabunPSK"/>
          <w:sz w:val="32"/>
          <w:szCs w:val="32"/>
        </w:rPr>
      </w:pPr>
      <w:hyperlink r:id="rId14" w:history="1">
        <w:r w:rsidR="00BE6D39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การขัดกันระหว่างประโยชน์ส่วนตนกับประโยชน์ส่วนรวม โดย ปปช.</w:t>
        </w:r>
      </w:hyperlink>
    </w:p>
    <w:p w14:paraId="18899903" w14:textId="17F04E5D" w:rsidR="00BE6D39" w:rsidRPr="0075730C" w:rsidRDefault="00BE6D39" w:rsidP="002E6686">
      <w:pPr>
        <w:pStyle w:val="a4"/>
        <w:numPr>
          <w:ilvl w:val="1"/>
          <w:numId w:val="7"/>
        </w:numPr>
        <w:ind w:left="1560" w:hanging="426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75730C">
        <w:rPr>
          <w:rFonts w:ascii="TH SarabunPSK" w:hAnsi="TH SarabunPSK" w:cs="TH SarabunPSK"/>
          <w:sz w:val="32"/>
          <w:szCs w:val="32"/>
        </w:rPr>
        <w:t xml:space="preserve">128 </w:t>
      </w:r>
      <w:r w:rsidRPr="0075730C">
        <w:rPr>
          <w:rFonts w:ascii="TH SarabunPSK" w:hAnsi="TH SarabunPSK" w:cs="TH SarabunPSK"/>
          <w:sz w:val="32"/>
          <w:szCs w:val="32"/>
          <w:cs/>
        </w:rPr>
        <w:t>ห้ามไม่ให้เจ้าพร</w:t>
      </w:r>
      <w:proofErr w:type="spellStart"/>
      <w:r w:rsidRPr="0075730C">
        <w:rPr>
          <w:rFonts w:ascii="TH SarabunPSK" w:hAnsi="TH SarabunPSK" w:cs="TH SarabunPSK"/>
          <w:sz w:val="32"/>
          <w:szCs w:val="32"/>
          <w:cs/>
        </w:rPr>
        <w:t>ัก</w:t>
      </w:r>
      <w:proofErr w:type="spellEnd"/>
      <w:r w:rsidRPr="0075730C">
        <w:rPr>
          <w:rFonts w:ascii="TH SarabunPSK" w:hAnsi="TH SarabunPSK" w:cs="TH SarabunPSK"/>
          <w:sz w:val="32"/>
          <w:szCs w:val="32"/>
          <w:cs/>
        </w:rPr>
        <w:t>งานของรัฐ รับทรัพย์สิน หรือประโยชน์อื่นใดอันอาจคำนวนเป็นเงินได้ โดย ปปช.</w:t>
      </w:r>
    </w:p>
    <w:p w14:paraId="71BFCFA5" w14:textId="47A0F58F" w:rsidR="00BE6D39" w:rsidRDefault="00BE6D39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4F951EF" w14:textId="6BC8EF46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16904C24" w14:textId="38C5B05C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130B8481" w14:textId="3BE6FC7D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27712705" w14:textId="3AF2BBF7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D21C1B5" w14:textId="63110176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1E71FB5D" w14:textId="15C4DD0E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3C611364" w14:textId="7331AABB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536FCC1B" w14:textId="02F61189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350B738F" w14:textId="135D1709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754975D4" w14:textId="1E3A43BF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3C45C86F" w14:textId="5C272031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40AD7C8" w14:textId="0F0507A6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F0325AC" w14:textId="46C9246E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2D876DD9" w14:textId="3F8DE829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2104DED" w14:textId="068A5F8F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58097FE" w14:textId="315390BD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DE4759A" w14:textId="70809811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1056BF96" w14:textId="6B009742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10B7C0E8" w14:textId="7470368E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FE9E139" w14:textId="1A71F019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20149EE3" w14:textId="52203FF5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3A427D82" w14:textId="23D5C676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5B2B555D" w14:textId="2876A8FA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B3D50A4" w14:textId="2A4B8AE8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2F1CAC57" w14:textId="7A0C5913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6C21514" w14:textId="1EAF7EC1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D9E6776" w14:textId="50F4004B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3BBC22B3" w14:textId="3B8C049E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59A0834" w14:textId="01396E76" w:rsidR="009C453C" w:rsidRDefault="009C453C" w:rsidP="00BE6D39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AF0CB4B" w14:textId="08D4369F" w:rsidR="00467245" w:rsidRPr="00F46300" w:rsidRDefault="006074FF" w:rsidP="00467245">
      <w:pPr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</w:pPr>
      <w:r w:rsidRPr="00F46300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lastRenderedPageBreak/>
        <w:t>5.6</w:t>
      </w:r>
      <w:r w:rsidR="00BA2AF6" w:rsidRPr="00F46300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t xml:space="preserve"> การกำหนดบทบาทหน้าที่ความรับผิดชอบ ผลประโยชน์ตอบแทน ความสัมพันธ์ในองค์กรของบุคลากรสายวิชาการ</w:t>
      </w:r>
    </w:p>
    <w:p w14:paraId="6ED13525" w14:textId="7C8C63F7" w:rsidR="00467245" w:rsidRPr="0075730C" w:rsidRDefault="00467245" w:rsidP="00BE6D39">
      <w:pPr>
        <w:ind w:firstLine="1134"/>
        <w:rPr>
          <w:rFonts w:ascii="TH SarabunPSK" w:hAnsi="TH SarabunPSK" w:cs="TH SarabunPSK"/>
          <w:sz w:val="16"/>
          <w:szCs w:val="16"/>
        </w:rPr>
      </w:pPr>
    </w:p>
    <w:p w14:paraId="50818C88" w14:textId="1D27E6E4" w:rsidR="00611236" w:rsidRPr="0075730C" w:rsidRDefault="00467245" w:rsidP="0061123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</w:t>
      </w:r>
      <w:r w:rsidR="00611236">
        <w:rPr>
          <w:rFonts w:ascii="TH SarabunPSK" w:hAnsi="TH SarabunPSK" w:cs="TH SarabunPSK" w:hint="cs"/>
          <w:sz w:val="32"/>
          <w:szCs w:val="32"/>
          <w:cs/>
        </w:rPr>
        <w:t>ดำเนินการตามนโยบายของมหาวิทยาลัย โดย</w:t>
      </w:r>
      <w:r w:rsidR="00611236" w:rsidRPr="0075730C">
        <w:rPr>
          <w:rFonts w:ascii="TH SarabunPSK" w:hAnsi="TH SarabunPSK" w:cs="TH SarabunPSK"/>
          <w:sz w:val="32"/>
          <w:szCs w:val="32"/>
          <w:cs/>
        </w:rPr>
        <w:t>การกำหนดหน้าที่ความรับผิดชอบของบุคลากรประเภทวิชาการ ปรากฎตาม</w:t>
      </w:r>
      <w:hyperlink r:id="rId15" w:history="1">
        <w:r w:rsidR="00611236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มาตรฐานกำหนดตำแหน่งพนักงานมหาวิทยาลัยประเภทวิชาการ</w:t>
        </w:r>
      </w:hyperlink>
      <w:r w:rsidR="00611236" w:rsidRPr="0075730C">
        <w:rPr>
          <w:rFonts w:ascii="TH SarabunPSK" w:hAnsi="TH SarabunPSK" w:cs="TH SarabunPSK"/>
          <w:sz w:val="32"/>
          <w:szCs w:val="32"/>
        </w:rPr>
        <w:t xml:space="preserve"> </w:t>
      </w:r>
      <w:r w:rsidR="00611236" w:rsidRPr="0075730C">
        <w:rPr>
          <w:rFonts w:ascii="TH SarabunPSK" w:hAnsi="TH SarabunPSK" w:cs="TH SarabunPSK"/>
          <w:sz w:val="32"/>
          <w:szCs w:val="32"/>
          <w:cs/>
        </w:rPr>
        <w:t>ควบคู่กับ</w:t>
      </w:r>
      <w:hyperlink r:id="rId16" w:history="1">
        <w:r w:rsidR="00611236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มาตรฐานภาระงานขั้นต่ำ</w:t>
        </w:r>
      </w:hyperlink>
      <w:r w:rsidR="00611236" w:rsidRPr="0075730C">
        <w:rPr>
          <w:rFonts w:ascii="TH SarabunPSK" w:hAnsi="TH SarabunPSK" w:cs="TH SarabunPSK"/>
          <w:sz w:val="32"/>
          <w:szCs w:val="32"/>
          <w:cs/>
        </w:rPr>
        <w:t>ที่มหาวิทยาลัยกำหนดไว้ โดยการกำหนด</w:t>
      </w:r>
      <w:hyperlink r:id="rId17" w:history="1">
        <w:r w:rsidR="00611236"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มาตรฐานภาระงานขั้นต่ำ</w:t>
        </w:r>
      </w:hyperlink>
      <w:r w:rsidR="00611236" w:rsidRPr="0075730C">
        <w:rPr>
          <w:rFonts w:ascii="TH SarabunPSK" w:hAnsi="TH SarabunPSK" w:cs="TH SarabunPSK"/>
          <w:sz w:val="32"/>
          <w:szCs w:val="32"/>
          <w:cs/>
        </w:rPr>
        <w:t>ดังกล่าวครอบคลุมทั้ง 4 พันธกิจ (การสอน การวิจัย การบริการวิชาการ และทะนุบำรุง</w:t>
      </w:r>
      <w:proofErr w:type="spellStart"/>
      <w:r w:rsidR="00611236" w:rsidRPr="0075730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611236" w:rsidRPr="0075730C">
        <w:rPr>
          <w:rFonts w:ascii="TH SarabunPSK" w:hAnsi="TH SarabunPSK" w:cs="TH SarabunPSK"/>
          <w:sz w:val="32"/>
          <w:szCs w:val="32"/>
          <w:cs/>
        </w:rPr>
        <w:t xml:space="preserve">วัฒนธรรม)  </w:t>
      </w:r>
    </w:p>
    <w:p w14:paraId="5D72C99D" w14:textId="4C87AAD0" w:rsidR="00DC649E" w:rsidRDefault="00611236" w:rsidP="0061123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5730C">
        <w:rPr>
          <w:rFonts w:ascii="TH SarabunPSK" w:hAnsi="TH SarabunPSK" w:cs="TH SarabunPSK"/>
          <w:sz w:val="32"/>
          <w:szCs w:val="32"/>
          <w:cs/>
        </w:rPr>
        <w:t xml:space="preserve">สำหรับการประเมินผลการปฏิบัติงานนั้น </w:t>
      </w:r>
      <w:r w:rsidR="00081F2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00588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81F2D">
        <w:rPr>
          <w:rFonts w:ascii="TH SarabunPSK" w:hAnsi="TH SarabunPSK" w:cs="TH SarabunPSK" w:hint="cs"/>
          <w:sz w:val="32"/>
          <w:szCs w:val="32"/>
          <w:cs/>
        </w:rPr>
        <w:t>ดำเนินการตามนโยบาย</w:t>
      </w:r>
      <w:r w:rsidR="00DC649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5730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DC649E">
        <w:rPr>
          <w:rFonts w:ascii="TH SarabunPSK" w:hAnsi="TH SarabunPSK" w:cs="TH SarabunPSK" w:hint="cs"/>
          <w:sz w:val="32"/>
          <w:szCs w:val="32"/>
          <w:cs/>
        </w:rPr>
        <w:t xml:space="preserve">กำหนดไว้ </w:t>
      </w:r>
      <w:r w:rsidR="00081F2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5730C">
        <w:rPr>
          <w:rFonts w:ascii="TH SarabunPSK" w:hAnsi="TH SarabunPSK" w:cs="TH SarabunPSK"/>
          <w:sz w:val="32"/>
          <w:szCs w:val="32"/>
          <w:cs/>
        </w:rPr>
        <w:t>ได้กำหนด</w:t>
      </w:r>
      <w:hyperlink r:id="rId18" w:history="1">
        <w:r w:rsidRPr="0075730C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หลักเกณฑ์การคิดภาระงานของผู้ปฏิบัติงานในมหาวิทยาลัยประเภทวิชาการ</w:t>
        </w:r>
      </w:hyperlink>
      <w:r w:rsidR="00DC649E">
        <w:rPr>
          <w:rFonts w:ascii="TH SarabunPSK" w:hAnsi="TH SarabunPSK" w:cs="TH SarabunPSK"/>
          <w:sz w:val="32"/>
          <w:szCs w:val="32"/>
        </w:rPr>
        <w:t xml:space="preserve"> </w:t>
      </w:r>
      <w:r w:rsidR="00DC649E" w:rsidRPr="00DC649E">
        <w:rPr>
          <w:rFonts w:ascii="TH SarabunPSK" w:hAnsi="TH SarabunPSK" w:cs="TH SarabunPSK"/>
          <w:sz w:val="32"/>
          <w:szCs w:val="32"/>
        </w:rPr>
        <w:t>แ</w:t>
      </w:r>
      <w:r w:rsidR="00DC649E" w:rsidRPr="00DC649E">
        <w:rPr>
          <w:rFonts w:ascii="TH SarabunPSK" w:hAnsi="TH SarabunPSK" w:cs="TH SarabunPSK" w:hint="cs"/>
          <w:sz w:val="32"/>
          <w:szCs w:val="32"/>
          <w:cs/>
        </w:rPr>
        <w:t>บง</w:t>
      </w:r>
      <w:r w:rsidRPr="0075730C">
        <w:rPr>
          <w:rFonts w:ascii="TH SarabunPSK" w:hAnsi="TH SarabunPSK" w:cs="TH SarabunPSK"/>
          <w:sz w:val="32"/>
          <w:szCs w:val="32"/>
          <w:cs/>
        </w:rPr>
        <w:t xml:space="preserve">เป็น 4 พันธกิจ </w:t>
      </w:r>
      <w:r w:rsidR="00B96CF1">
        <w:rPr>
          <w:rFonts w:ascii="TH SarabunPSK" w:hAnsi="TH SarabunPSK" w:cs="TH SarabunPSK" w:hint="cs"/>
          <w:sz w:val="32"/>
          <w:szCs w:val="32"/>
          <w:cs/>
        </w:rPr>
        <w:t>ได้แก่ ด้านการเรียนการสอน ด้านการวิจัย ด้านการบริการวิชาการ และด้านทำนุบำรุง</w:t>
      </w:r>
      <w:proofErr w:type="spellStart"/>
      <w:r w:rsidR="00B96CF1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B96CF1">
        <w:rPr>
          <w:rFonts w:ascii="TH SarabunPSK" w:hAnsi="TH SarabunPSK" w:cs="TH SarabunPSK" w:hint="cs"/>
          <w:sz w:val="32"/>
          <w:szCs w:val="32"/>
          <w:cs/>
        </w:rPr>
        <w:t xml:space="preserve">วัฒนธรรม  </w:t>
      </w:r>
      <w:r w:rsidRPr="0075730C">
        <w:rPr>
          <w:rFonts w:ascii="TH SarabunPSK" w:hAnsi="TH SarabunPSK" w:cs="TH SarabunPSK"/>
          <w:sz w:val="32"/>
          <w:szCs w:val="32"/>
          <w:cs/>
        </w:rPr>
        <w:t>ซึ่งบุคลากรสายวิชาการสามารถวางแผนการปฏิบัติงานประจำปี</w:t>
      </w:r>
      <w:r w:rsidR="00B96C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30C">
        <w:rPr>
          <w:rFonts w:ascii="TH SarabunPSK" w:hAnsi="TH SarabunPSK" w:cs="TH SarabunPSK"/>
          <w:sz w:val="32"/>
          <w:szCs w:val="32"/>
          <w:cs/>
        </w:rPr>
        <w:t xml:space="preserve">โดยตกลงกับหัวหน้าส่วนงานภายใต้การจัดทำข้อตกลงภาระงานประจำปี </w:t>
      </w:r>
      <w:r w:rsidR="00B96CF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DC649E">
        <w:rPr>
          <w:rFonts w:ascii="TH SarabunPSK" w:hAnsi="TH SarabunPSK" w:cs="TH SarabunPSK" w:hint="cs"/>
          <w:sz w:val="32"/>
          <w:szCs w:val="32"/>
          <w:cs/>
        </w:rPr>
        <w:t>ในส่วนของคณะได้ดำเนินการ</w:t>
      </w:r>
      <w:r w:rsidR="003B541F">
        <w:rPr>
          <w:rFonts w:ascii="TH SarabunPSK" w:hAnsi="TH SarabunPSK" w:cs="TH SarabunPSK" w:hint="cs"/>
          <w:sz w:val="32"/>
          <w:szCs w:val="32"/>
          <w:cs/>
        </w:rPr>
        <w:t>กำหนดตัวชี้วัดให้บุคลากรของคณะ เพื่อร่วมกันขับเคลื่อนภาระงานในส่วนของหน่วยงาน (ประกาศหลักเกณฑ์) หลังจากนั้นแจ้งเวียนให้บุคลากรเพื่อทราบ</w:t>
      </w:r>
      <w:r w:rsidR="00A119EF">
        <w:rPr>
          <w:rFonts w:ascii="TH SarabunPSK" w:hAnsi="TH SarabunPSK" w:cs="TH SarabunPSK" w:hint="cs"/>
          <w:sz w:val="32"/>
          <w:szCs w:val="32"/>
          <w:cs/>
        </w:rPr>
        <w:t>และให้ข้อเสนอแนะ</w:t>
      </w:r>
      <w:r w:rsidR="00062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9EF">
        <w:rPr>
          <w:rFonts w:ascii="TH SarabunPSK" w:hAnsi="TH SarabunPSK" w:cs="TH SarabunPSK" w:hint="cs"/>
          <w:sz w:val="32"/>
          <w:szCs w:val="32"/>
          <w:cs/>
        </w:rPr>
        <w:t>หลังจากได้</w:t>
      </w:r>
      <w:r w:rsidR="00B96CF1">
        <w:rPr>
          <w:rFonts w:ascii="TH SarabunPSK" w:hAnsi="TH SarabunPSK" w:cs="TH SarabunPSK" w:hint="cs"/>
          <w:sz w:val="32"/>
          <w:szCs w:val="32"/>
          <w:cs/>
        </w:rPr>
        <w:t>รับข้อเสนอแนะจากบุคลากรแล้ว คณะดำเนินการเชิญประชุมกลุ่มผู้บริหารและประธานการหลักสูตรเพื่อหาข้อสรุป</w:t>
      </w:r>
      <w:r w:rsidR="00A119EF">
        <w:rPr>
          <w:rFonts w:ascii="TH SarabunPSK" w:hAnsi="TH SarabunPSK" w:cs="TH SarabunPSK" w:hint="cs"/>
          <w:sz w:val="32"/>
          <w:szCs w:val="32"/>
          <w:cs/>
        </w:rPr>
        <w:t>ข้อสรุปแล้ว</w:t>
      </w:r>
      <w:r w:rsidR="003B541F">
        <w:rPr>
          <w:rFonts w:ascii="TH SarabunPSK" w:hAnsi="TH SarabunPSK" w:cs="TH SarabunPSK" w:hint="cs"/>
          <w:sz w:val="32"/>
          <w:szCs w:val="32"/>
          <w:cs/>
        </w:rPr>
        <w:t xml:space="preserve">นำเสนอที่ประชุมคณะกรรมการประจำคณะเพื่อกำหนดหลักเกณฑ์ </w:t>
      </w:r>
      <w:r w:rsidR="00062437">
        <w:rPr>
          <w:rFonts w:ascii="TH SarabunPSK" w:hAnsi="TH SarabunPSK" w:cs="TH SarabunPSK" w:hint="cs"/>
          <w:sz w:val="32"/>
          <w:szCs w:val="32"/>
          <w:cs/>
        </w:rPr>
        <w:t>และแจ้งเวียนบุคลากร</w:t>
      </w:r>
      <w:r w:rsidR="00A119EF">
        <w:rPr>
          <w:rFonts w:ascii="TH SarabunPSK" w:hAnsi="TH SarabunPSK" w:cs="TH SarabunPSK" w:hint="cs"/>
          <w:sz w:val="32"/>
          <w:szCs w:val="32"/>
          <w:cs/>
        </w:rPr>
        <w:t>สายวิชาการเพื่อทราบและถือปฏิบัติ</w:t>
      </w:r>
    </w:p>
    <w:p w14:paraId="464C6191" w14:textId="77777777" w:rsidR="00DC649E" w:rsidRPr="003B541F" w:rsidRDefault="00DC649E" w:rsidP="00611236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0F58E220" w14:textId="1E32CC36" w:rsidR="00BE0327" w:rsidRDefault="00081F2D" w:rsidP="00081F2D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นอกจากนั้น คณะ</w:t>
      </w:r>
      <w:r w:rsidRPr="0075730C">
        <w:rPr>
          <w:rFonts w:ascii="TH SarabunPSK" w:hAnsi="TH SarabunPSK" w:cs="TH SarabunPSK"/>
          <w:sz w:val="32"/>
          <w:szCs w:val="32"/>
          <w:cs/>
        </w:rPr>
        <w:t>ได้ดำเนิน</w:t>
      </w:r>
      <w:r w:rsidR="00B10D1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F50DA">
        <w:rPr>
          <w:rFonts w:ascii="TH SarabunPSK" w:hAnsi="TH SarabunPSK" w:cs="TH SarabunPSK" w:hint="cs"/>
          <w:sz w:val="32"/>
          <w:szCs w:val="32"/>
          <w:cs/>
        </w:rPr>
        <w:t>สร้างแรงจูงใจในการขอกำหนดตำแหน่งที่สูงขึ้นของสายวิชาการ</w:t>
      </w:r>
      <w:r w:rsidR="00BE0327">
        <w:rPr>
          <w:rFonts w:ascii="TH SarabunPSK" w:hAnsi="TH SarabunPSK" w:cs="TH SarabunPSK" w:hint="cs"/>
          <w:sz w:val="32"/>
          <w:szCs w:val="32"/>
          <w:cs/>
        </w:rPr>
        <w:t xml:space="preserve"> และสร้างขวัญและกำลังใจให้แก่บุคลากรประเภทวิชาการ และประเภทสนับสนุนวิชาการ สำหรับผู้ที่มีผลงานด้านวิจัยและบริการวิชาการ ของคณะผลิตกรรมการเกษตร </w:t>
      </w:r>
      <w:r w:rsidR="00893F6D">
        <w:rPr>
          <w:rFonts w:ascii="TH SarabunPSK" w:hAnsi="TH SarabunPSK" w:cs="TH SarabunPSK" w:hint="cs"/>
          <w:sz w:val="32"/>
          <w:szCs w:val="32"/>
          <w:cs/>
        </w:rPr>
        <w:t>ดังรายละเอียดต่อไปนี้</w:t>
      </w:r>
    </w:p>
    <w:p w14:paraId="68E6C19F" w14:textId="66B9FE21" w:rsidR="00B10D10" w:rsidRDefault="00BE0327" w:rsidP="00081F2D">
      <w:pPr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9F50DA">
        <w:rPr>
          <w:rFonts w:ascii="TH SarabunPSK" w:hAnsi="TH SarabunPSK" w:cs="TH SarabunPSK" w:hint="cs"/>
          <w:sz w:val="32"/>
          <w:szCs w:val="32"/>
          <w:cs/>
        </w:rPr>
        <w:t>จัดทำประกาศหลักเกณฑ์อัตราสนับสนุนการตีพิมพ์เผยแพร่ผลงานวิจัย หรือการขอกำหนดตำแหน่งสำหรับอาจารย์ที่ยังไม่มีตำแหน่งทางวิชาการ จากงบประมาณเงินรายได้ ประจำปี 2567 (ประกาศหลักเกณฑ์) เพื่อเป็นการ</w:t>
      </w:r>
      <w:r w:rsidR="006C6880">
        <w:rPr>
          <w:rFonts w:ascii="TH SarabunPSK" w:hAnsi="TH SarabunPSK" w:cs="TH SarabunPSK" w:hint="cs"/>
          <w:sz w:val="32"/>
          <w:szCs w:val="32"/>
          <w:cs/>
        </w:rPr>
        <w:t>กระตุ้น และ</w:t>
      </w:r>
      <w:r w:rsidR="009F50DA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สนับสนุนการเผยแพร่ผลงานวิจัยสำหรับคณาจารย์ที่ยังไม่มีตำแหน่งทางวิชาการ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ในการขอกำหนดตำแหน่งทางวิชาการมากขึ้น </w:t>
      </w:r>
    </w:p>
    <w:p w14:paraId="26E56D09" w14:textId="70D2D04D" w:rsidR="00B10D10" w:rsidRDefault="00BE0327" w:rsidP="00081F2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จัดทำประกาศหลักเกณฑ์การยกย่องผู้มีผลงานวิจัยและบริการวิชาการ</w:t>
      </w:r>
      <w:r w:rsidR="009C453C">
        <w:rPr>
          <w:rFonts w:ascii="TH SarabunPSK" w:hAnsi="TH SarabunPSK" w:cs="TH SarabunPSK" w:hint="cs"/>
          <w:sz w:val="32"/>
          <w:szCs w:val="32"/>
          <w:cs/>
        </w:rPr>
        <w:t xml:space="preserve"> ของคณะผลิตกรรมการเกษตร ประจำปี 2567 (ประกาศหลักเกณฑ์) </w:t>
      </w:r>
      <w:r w:rsidR="00893F6D">
        <w:rPr>
          <w:rFonts w:ascii="TH SarabunPSK" w:hAnsi="TH SarabunPSK" w:cs="TH SarabunPSK" w:hint="cs"/>
          <w:sz w:val="32"/>
          <w:szCs w:val="32"/>
          <w:cs/>
        </w:rPr>
        <w:t xml:space="preserve"> แบ่งเป็น 3 ประเภท 1) ประเภทนักวิจัยยอดเยี่ยม (อย่างใดอย่างหนึ่ง) 2) ประเภทนักวิจัยดีเด่น (อย่างใดอย่างหนึ่ง) 3) ประเภทบุคลากรด้านบริการวิชาการ </w:t>
      </w:r>
      <w:r w:rsidR="009C453C">
        <w:rPr>
          <w:rFonts w:ascii="TH SarabunPSK" w:hAnsi="TH SarabunPSK" w:cs="TH SarabunPSK" w:hint="cs"/>
          <w:sz w:val="32"/>
          <w:szCs w:val="32"/>
          <w:cs/>
        </w:rPr>
        <w:t>เพื่อเป็นการสร้างขวัญและกำลังใจให้แก่บุคลากรประเภทสายวิชาการและประเภทสายสนับสนุนวิชาการ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AC0F34" w14:textId="28D0036D" w:rsidR="00BE0327" w:rsidRDefault="00BE0327" w:rsidP="00081F2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F2035A7" w14:textId="21B72555" w:rsidR="00BE0327" w:rsidRDefault="00BE0327" w:rsidP="00081F2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A1FE34E" w14:textId="77777777" w:rsidR="00BE0327" w:rsidRDefault="00BE0327" w:rsidP="00081F2D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2" w:name="_GoBack"/>
      <w:bookmarkEnd w:id="2"/>
    </w:p>
    <w:sectPr w:rsidR="00BE0327" w:rsidSect="0075730C">
      <w:pgSz w:w="11906" w:h="16838" w:code="9"/>
      <w:pgMar w:top="1560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3504"/>
    <w:multiLevelType w:val="hybridMultilevel"/>
    <w:tmpl w:val="3DC660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73DD5"/>
    <w:multiLevelType w:val="hybridMultilevel"/>
    <w:tmpl w:val="A1B886B2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3D230C6"/>
    <w:multiLevelType w:val="hybridMultilevel"/>
    <w:tmpl w:val="8B9A33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D09C792A"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CF6446"/>
    <w:multiLevelType w:val="hybridMultilevel"/>
    <w:tmpl w:val="58B2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889"/>
    <w:rsid w:val="00015D33"/>
    <w:rsid w:val="00062437"/>
    <w:rsid w:val="00081F2D"/>
    <w:rsid w:val="00133D5A"/>
    <w:rsid w:val="001C54AB"/>
    <w:rsid w:val="002420A4"/>
    <w:rsid w:val="002B6211"/>
    <w:rsid w:val="002C46B8"/>
    <w:rsid w:val="002E267D"/>
    <w:rsid w:val="002E6686"/>
    <w:rsid w:val="002F0D0D"/>
    <w:rsid w:val="003157DA"/>
    <w:rsid w:val="0035177A"/>
    <w:rsid w:val="003B541F"/>
    <w:rsid w:val="003C469B"/>
    <w:rsid w:val="0040355B"/>
    <w:rsid w:val="00467245"/>
    <w:rsid w:val="00491241"/>
    <w:rsid w:val="005151A9"/>
    <w:rsid w:val="006074FF"/>
    <w:rsid w:val="00611236"/>
    <w:rsid w:val="006C6880"/>
    <w:rsid w:val="00714ABB"/>
    <w:rsid w:val="00741F10"/>
    <w:rsid w:val="0075730C"/>
    <w:rsid w:val="00893F6D"/>
    <w:rsid w:val="00961659"/>
    <w:rsid w:val="0097648B"/>
    <w:rsid w:val="0099368C"/>
    <w:rsid w:val="009C453C"/>
    <w:rsid w:val="009D6A72"/>
    <w:rsid w:val="009F50DA"/>
    <w:rsid w:val="00A03EDC"/>
    <w:rsid w:val="00A119EF"/>
    <w:rsid w:val="00A1406B"/>
    <w:rsid w:val="00A4343E"/>
    <w:rsid w:val="00A85466"/>
    <w:rsid w:val="00A90927"/>
    <w:rsid w:val="00AF5EC5"/>
    <w:rsid w:val="00B057C9"/>
    <w:rsid w:val="00B10D10"/>
    <w:rsid w:val="00B96CF1"/>
    <w:rsid w:val="00BA2AF6"/>
    <w:rsid w:val="00BE0327"/>
    <w:rsid w:val="00BE6D39"/>
    <w:rsid w:val="00CE2C00"/>
    <w:rsid w:val="00D36E00"/>
    <w:rsid w:val="00DC649E"/>
    <w:rsid w:val="00EB47B3"/>
    <w:rsid w:val="00EB4C07"/>
    <w:rsid w:val="00EB749A"/>
    <w:rsid w:val="00F4630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245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C46B8"/>
    <w:rPr>
      <w:rFonts w:ascii="Times New Roman" w:eastAsia="Times New Roman" w:hAnsi="Times New Roman" w:cs="Angsana New"/>
      <w:sz w:val="24"/>
      <w:szCs w:val="30"/>
      <w14:ligatures w14:val="none"/>
    </w:rPr>
  </w:style>
  <w:style w:type="character" w:styleId="a6">
    <w:name w:val="Strong"/>
    <w:basedOn w:val="a0"/>
    <w:uiPriority w:val="22"/>
    <w:qFormat/>
    <w:rsid w:val="002C46B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CE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mju.ac.th/edoc/rules/22211.pdf" TargetMode="External"/><Relationship Id="rId13" Type="http://schemas.openxmlformats.org/officeDocument/2006/relationships/hyperlink" Target="https://www.facebook.com/SenateMJU/videos/116529714700645" TargetMode="External"/><Relationship Id="rId18" Type="http://schemas.openxmlformats.org/officeDocument/2006/relationships/hyperlink" Target="http://personnel.mju.ac.th/edoc/rules/222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29813.pdf" TargetMode="External"/><Relationship Id="rId12" Type="http://schemas.openxmlformats.org/officeDocument/2006/relationships/hyperlink" Target="https://www.facebook.com/SenateMJU/videos/1258272218375533" TargetMode="External"/><Relationship Id="rId17" Type="http://schemas.openxmlformats.org/officeDocument/2006/relationships/hyperlink" Target="http://personnel.mju.ac.th/edoc/rules/298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sonnel.mju.ac.th/edoc/rules/19777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sonnel.mju.ac.th/edoc/rules/19777.pdf" TargetMode="External"/><Relationship Id="rId11" Type="http://schemas.openxmlformats.org/officeDocument/2006/relationships/hyperlink" Target="https://www.facebook.com/SenateMJU/videos/760910528505458" TargetMode="External"/><Relationship Id="rId5" Type="http://schemas.openxmlformats.org/officeDocument/2006/relationships/hyperlink" Target="https://personnel.mju.ac.th/edoc/rules/14115.pdf" TargetMode="External"/><Relationship Id="rId15" Type="http://schemas.openxmlformats.org/officeDocument/2006/relationships/hyperlink" Target="https://personnel.mju.ac.th/edoc/rules/14115.pdf" TargetMode="External"/><Relationship Id="rId10" Type="http://schemas.openxmlformats.org/officeDocument/2006/relationships/hyperlink" Target="https://www.youtube.com/watch?v=M44eztUdeM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uncil.mju.ac.th/goverment/20111119104835_2011_council/Doc_25601012230505_55695.pdf" TargetMode="External"/><Relationship Id="rId14" Type="http://schemas.openxmlformats.org/officeDocument/2006/relationships/hyperlink" Target="https://www.facebook.com/SenateMJU/videos/758628359223350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6</cp:revision>
  <dcterms:created xsi:type="dcterms:W3CDTF">2025-03-07T08:39:00Z</dcterms:created>
  <dcterms:modified xsi:type="dcterms:W3CDTF">2025-03-10T03:55:00Z</dcterms:modified>
</cp:coreProperties>
</file>